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color w:val="5B6673"/>
          <w:spacing w:val="30"/>
          <w:sz w:val="16"/>
          <w:szCs w:val="16"/>
        </w:rPr>
        <w:t xml:space="preserve">CURRICULUM VITAE · EUROPASS</w:t>
      </w:r>
    </w:p>
    <w:p>
      <w:pPr>
        <w:spacing w:after="0"/>
      </w:pPr>
      <w:r>
        <w:rPr>
          <w:b/>
          <w:bCs/>
          <w:color w:val="1F2933"/>
          <w:sz w:val="48"/>
          <w:szCs w:val="48"/>
        </w:rPr>
        <w:t xml:space="preserve">Javier Foriscot Llorca</w:t>
      </w:r>
    </w:p>
    <w:p>
      <w:pPr>
        <w:pBdr>
          <w:bottom w:val="single" w:color="0B4EA2" w:sz="12" w:space="6"/>
        </w:pBdr>
        <w:spacing w:after="120"/>
      </w:pPr>
      <w:r>
        <w:rPr>
          <w:b/>
          <w:bCs/>
          <w:color w:val="0B4EA2"/>
          <w:sz w:val="24"/>
          <w:szCs w:val="24"/>
        </w:rPr>
        <w:t xml:space="preserve">SIEM Administrator · IBM QRadar</w:t>
      </w:r>
    </w:p>
    <w:p>
      <w:pPr>
        <w:spacing w:after="20"/>
      </w:pPr>
      <w:r>
        <w:rPr>
          <w:b/>
          <w:bCs/>
          <w:sz w:val="19"/>
          <w:szCs w:val="19"/>
        </w:rPr>
        <w:t xml:space="preserve">Email:</w:t>
      </w:r>
      <w:r>
        <w:rPr>
          <w:sz w:val="19"/>
          <w:szCs w:val="19"/>
        </w:rPr>
        <w:t xml:space="preserve"> </w:t>
      </w:r>
      <w:hyperlink w:history="1" r:id="rIdimptu-ppuuyrk063ysq4z">
        <w:r>
          <w:rPr>
            <w:color w:val="0B4EA2"/>
            <w:sz w:val="19"/>
            <w:szCs w:val="19"/>
            <w:u w:val="single"/>
          </w:rPr>
          <w:t xml:space="preserve">javi.foris@hotmail.com</w:t>
        </w:r>
      </w:hyperlink>
    </w:p>
    <w:p>
      <w:pPr>
        <w:spacing w:after="20"/>
      </w:pPr>
      <w:r>
        <w:rPr>
          <w:b/>
          <w:bCs/>
          <w:sz w:val="19"/>
          <w:szCs w:val="19"/>
        </w:rPr>
        <w:t xml:space="preserve">Web:</w:t>
      </w:r>
      <w:r>
        <w:rPr>
          <w:sz w:val="19"/>
          <w:szCs w:val="19"/>
        </w:rPr>
        <w:t xml:space="preserve"> </w:t>
      </w:r>
      <w:hyperlink w:history="1" r:id="rId-ixgrvphqpewx7exkjws0">
        <w:r>
          <w:rPr>
            <w:color w:val="0B4EA2"/>
            <w:sz w:val="19"/>
            <w:szCs w:val="19"/>
            <w:u w:val="single"/>
          </w:rPr>
          <w:t xml:space="preserve">javierforiscot.dev</w:t>
        </w:r>
      </w:hyperlink>
    </w:p>
    <w:p>
      <w:pPr>
        <w:spacing w:after="20"/>
      </w:pPr>
      <w:r>
        <w:rPr>
          <w:b/>
          <w:bCs/>
          <w:sz w:val="19"/>
          <w:szCs w:val="19"/>
        </w:rPr>
        <w:t xml:space="preserve">LinkedIn:</w:t>
      </w:r>
      <w:r>
        <w:rPr>
          <w:sz w:val="19"/>
          <w:szCs w:val="19"/>
        </w:rPr>
        <w:t xml:space="preserve"> </w:t>
      </w:r>
      <w:hyperlink w:history="1" r:id="rIdgnnv1kkraqcjqbxmvznql">
        <w:r>
          <w:rPr>
            <w:color w:val="0B4EA2"/>
            <w:sz w:val="19"/>
            <w:szCs w:val="19"/>
            <w:u w:val="single"/>
          </w:rPr>
          <w:t xml:space="preserve">linkedin.com/in/javier-foriscot-llorca-539876140</w:t>
        </w:r>
      </w:hyperlink>
    </w:p>
    <w:p>
      <w:pPr>
        <w:pStyle w:val="Heading1"/>
      </w:pPr>
      <w:r>
        <w:t xml:space="preserve">ABOUT ME</w:t>
      </w:r>
    </w:p>
    <w:p>
      <w:pPr>
        <w:spacing w:after="80"/>
      </w:pPr>
      <w:r>
        <w:t xml:space="preserve">Cybersecurity specialist with over five years in SOC and SIEM environments. Currently an IBM QRadar Administrator at Kyndryl, working on the migration from RSA NetWitness and on the administration, integration and evolution of the platform. Hands-on experience with QRadar, RSA NetWitness, ArcSight, Splunk and Azure Sentinel. Previously nearly ten years in television (Mediaset España, Zeppelin TV), combining production, directing and video editing roles, with additional training as a full-stack developer.</w:t>
      </w:r>
    </w:p>
    <w:p>
      <w:pPr>
        <w:pStyle w:val="Heading1"/>
      </w:pPr>
      <w:r>
        <w:t xml:space="preserve">WORK EXPERIENCE</w:t>
      </w:r>
    </w:p>
    <w:p>
      <w:pPr>
        <w:keepNext/>
        <w:spacing w:before="60" w:after="0"/>
      </w:pPr>
      <w:r>
        <w:rPr>
          <w:color w:val="5B6673"/>
          <w:spacing w:val="10"/>
          <w:sz w:val="17"/>
          <w:szCs w:val="17"/>
        </w:rPr>
        <w:t xml:space="preserve">05/2024 – CURRENT</w:t>
      </w:r>
    </w:p>
    <w:p>
      <w:pPr>
        <w:pStyle w:val="Heading2"/>
      </w:pPr>
      <w:r>
        <w:t xml:space="preserve">QRADAR ADMINISTRATOR</w:t>
      </w:r>
    </w:p>
    <w:p>
      <w:pPr>
        <w:keepNext/>
        <w:spacing w:after="60"/>
      </w:pPr>
      <w:r>
        <w:rPr>
          <w:b/>
          <w:bCs/>
          <w:color w:val="0B4EA2"/>
        </w:rPr>
        <w:t xml:space="preserve">Kyndryl</w:t>
      </w:r>
    </w:p>
    <w:p>
      <w:pPr>
        <w:pStyle w:val="Heading3"/>
      </w:pPr>
      <w:r>
        <w:t xml:space="preserve">RSA NetWitness to IBM QRadar migration project</w:t>
      </w:r>
    </w:p>
    <w:p>
      <w:pPr>
        <w:pStyle w:val="ListParagraph"/>
        <w:numPr>
          <w:ilvl w:val="0"/>
          <w:numId w:val="2"/>
        </w:numPr>
        <w:spacing w:after="20"/>
      </w:pPr>
      <w:r>
        <w:t xml:space="preserve">Log source migration across an environment of 20,000+ sources.</w:t>
      </w:r>
    </w:p>
    <w:p>
      <w:pPr>
        <w:pStyle w:val="ListParagraph"/>
        <w:numPr>
          <w:ilvl w:val="0"/>
          <w:numId w:val="2"/>
        </w:numPr>
        <w:spacing w:after="20"/>
      </w:pPr>
      <w:r>
        <w:t xml:space="preserve">Infrastructure migration.</w:t>
      </w:r>
    </w:p>
    <w:p>
      <w:pPr>
        <w:pStyle w:val="ListParagraph"/>
        <w:numPr>
          <w:ilvl w:val="0"/>
          <w:numId w:val="2"/>
        </w:numPr>
        <w:spacing w:after="20"/>
      </w:pPr>
      <w:r>
        <w:t xml:space="preserve">Use case and report migration.</w:t>
      </w:r>
    </w:p>
    <w:p>
      <w:pPr>
        <w:pStyle w:val="ListParagraph"/>
        <w:numPr>
          <w:ilvl w:val="0"/>
          <w:numId w:val="2"/>
        </w:numPr>
        <w:spacing w:after="20"/>
      </w:pPr>
      <w:r>
        <w:t xml:space="preserve">Automation and script migration.</w:t>
      </w:r>
    </w:p>
    <w:p>
      <w:pPr>
        <w:pStyle w:val="Heading3"/>
      </w:pPr>
      <w:r>
        <w:t xml:space="preserve">QRadar administration &amp; maintenance</w:t>
      </w:r>
    </w:p>
    <w:p>
      <w:pPr>
        <w:pStyle w:val="ListParagraph"/>
        <w:numPr>
          <w:ilvl w:val="0"/>
          <w:numId w:val="2"/>
        </w:numPr>
        <w:spacing w:after="20"/>
      </w:pPr>
      <w:r>
        <w:t xml:space="preserve">User and group management.</w:t>
      </w:r>
    </w:p>
    <w:p>
      <w:pPr>
        <w:pStyle w:val="ListParagraph"/>
        <w:numPr>
          <w:ilvl w:val="0"/>
          <w:numId w:val="2"/>
        </w:numPr>
        <w:spacing w:after="20"/>
      </w:pPr>
      <w:r>
        <w:t xml:space="preserve">Rule and use case maintenance, including new deployments.</w:t>
      </w:r>
    </w:p>
    <w:p>
      <w:pPr>
        <w:pStyle w:val="ListParagraph"/>
        <w:numPr>
          <w:ilvl w:val="0"/>
          <w:numId w:val="2"/>
        </w:numPr>
        <w:spacing w:after="20"/>
      </w:pPr>
      <w:r>
        <w:t xml:space="preserve">New integrations: API, Syslog, JDBC, Logfile, WinCollect…</w:t>
      </w:r>
    </w:p>
    <w:p>
      <w:pPr>
        <w:pStyle w:val="ListParagraph"/>
        <w:numPr>
          <w:ilvl w:val="0"/>
          <w:numId w:val="2"/>
        </w:numPr>
        <w:spacing w:after="20"/>
      </w:pPr>
      <w:r>
        <w:t xml:space="preserve">Bash and Python scripting for ad-hoc reporting. Automation through the QRadar API.</w:t>
      </w:r>
    </w:p>
    <w:p>
      <w:pPr>
        <w:pStyle w:val="ListParagraph"/>
        <w:numPr>
          <w:ilvl w:val="0"/>
          <w:numId w:val="2"/>
        </w:numPr>
        <w:spacing w:after="20"/>
      </w:pPr>
      <w:r>
        <w:t xml:space="preserve">Version upgrades across PRE and PRO environments.</w:t>
      </w:r>
    </w:p>
    <w:p>
      <w:pPr>
        <w:pStyle w:val="ListParagraph"/>
        <w:numPr>
          <w:ilvl w:val="0"/>
          <w:numId w:val="2"/>
        </w:numPr>
        <w:spacing w:after="20"/>
      </w:pPr>
      <w:r>
        <w:t xml:space="preserve">Financial audit support, providing evidence from the SIEM.</w:t>
      </w:r>
    </w:p>
    <w:p>
      <w:pPr>
        <w:keepNext/>
        <w:spacing w:before="140" w:after="0"/>
      </w:pPr>
      <w:r>
        <w:rPr>
          <w:color w:val="5B6673"/>
          <w:spacing w:val="10"/>
          <w:sz w:val="17"/>
          <w:szCs w:val="17"/>
        </w:rPr>
        <w:t xml:space="preserve">2022 – 2024</w:t>
      </w:r>
    </w:p>
    <w:p>
      <w:pPr>
        <w:pStyle w:val="Heading2"/>
      </w:pPr>
      <w:r>
        <w:t xml:space="preserve">L2 ANALYST · ADVANCED CYBER DEFENCE</w:t>
      </w:r>
    </w:p>
    <w:p>
      <w:pPr>
        <w:keepNext/>
        <w:spacing w:after="60"/>
      </w:pPr>
      <w:r>
        <w:rPr>
          <w:b/>
          <w:bCs/>
          <w:color w:val="0B4EA2"/>
        </w:rPr>
        <w:t xml:space="preserve">UST · CyberProof </w:t>
      </w:r>
      <w:r>
        <w:rPr>
          <w:b w:val="false"/>
          <w:bCs w:val="false"/>
          <w:color w:val="5B6673"/>
        </w:rPr>
        <w:t xml:space="preserve">— Client: Banc Sabadell</w:t>
      </w:r>
    </w:p>
    <w:p>
      <w:pPr>
        <w:pStyle w:val="ListParagraph"/>
        <w:numPr>
          <w:ilvl w:val="0"/>
          <w:numId w:val="2"/>
        </w:numPr>
        <w:spacing w:after="20"/>
      </w:pPr>
      <w:r>
        <w:t xml:space="preserve">Threat modeling and detection procedure modeling.</w:t>
      </w:r>
    </w:p>
    <w:p>
      <w:pPr>
        <w:pStyle w:val="ListParagraph"/>
        <w:numPr>
          <w:ilvl w:val="0"/>
          <w:numId w:val="2"/>
        </w:numPr>
        <w:spacing w:after="20"/>
      </w:pPr>
      <w:r>
        <w:t xml:space="preserve">Correlation rule development in RSA NetWitness.</w:t>
      </w:r>
    </w:p>
    <w:p>
      <w:pPr>
        <w:pStyle w:val="ListParagraph"/>
        <w:numPr>
          <w:ilvl w:val="0"/>
          <w:numId w:val="2"/>
        </w:numPr>
        <w:spacing w:after="20"/>
      </w:pPr>
      <w:r>
        <w:t xml:space="preserve">Detection gap review with Darktrace.</w:t>
      </w:r>
    </w:p>
    <w:p>
      <w:pPr>
        <w:keepNext/>
        <w:spacing w:before="140" w:after="0"/>
      </w:pPr>
      <w:r>
        <w:rPr>
          <w:color w:val="5B6673"/>
          <w:spacing w:val="10"/>
          <w:sz w:val="17"/>
          <w:szCs w:val="17"/>
        </w:rPr>
        <w:t xml:space="preserve">2022</w:t>
      </w:r>
    </w:p>
    <w:p>
      <w:pPr>
        <w:pStyle w:val="Heading2"/>
      </w:pPr>
      <w:r>
        <w:t xml:space="preserve">CYBERSECURITY ANALYST</w:t>
      </w:r>
    </w:p>
    <w:p>
      <w:pPr>
        <w:keepNext/>
        <w:spacing w:after="60"/>
      </w:pPr>
      <w:r>
        <w:rPr>
          <w:b/>
          <w:bCs/>
          <w:color w:val="0B4EA2"/>
        </w:rPr>
        <w:t xml:space="preserve">NTT DATA</w:t>
      </w:r>
    </w:p>
    <w:p>
      <w:pPr>
        <w:pStyle w:val="ListParagraph"/>
        <w:numPr>
          <w:ilvl w:val="0"/>
          <w:numId w:val="2"/>
        </w:numPr>
        <w:spacing w:after="20"/>
      </w:pPr>
      <w:r>
        <w:t xml:space="preserve">Forensic analysis with Cisco AMP and incident response with CrowdStrike Falcon.</w:t>
      </w:r>
    </w:p>
    <w:p>
      <w:pPr>
        <w:pStyle w:val="ListParagraph"/>
        <w:numPr>
          <w:ilvl w:val="0"/>
          <w:numId w:val="2"/>
        </w:numPr>
        <w:spacing w:after="20"/>
      </w:pPr>
      <w:r>
        <w:t xml:space="preserve">Direct reporting to clients and users.</w:t>
      </w:r>
    </w:p>
    <w:p>
      <w:pPr>
        <w:pStyle w:val="ListParagraph"/>
        <w:numPr>
          <w:ilvl w:val="0"/>
          <w:numId w:val="2"/>
        </w:numPr>
        <w:spacing w:after="20"/>
      </w:pPr>
      <w:r>
        <w:t xml:space="preserve">Vulnerability management (CPE &amp; CVE).</w:t>
      </w:r>
    </w:p>
    <w:p>
      <w:pPr>
        <w:keepNext/>
        <w:spacing w:before="140" w:after="0"/>
      </w:pPr>
      <w:r>
        <w:rPr>
          <w:color w:val="5B6673"/>
          <w:spacing w:val="10"/>
          <w:sz w:val="17"/>
          <w:szCs w:val="17"/>
        </w:rPr>
        <w:t xml:space="preserve">2021 – 2022</w:t>
      </w:r>
    </w:p>
    <w:p>
      <w:pPr>
        <w:pStyle w:val="Heading2"/>
      </w:pPr>
      <w:r>
        <w:t xml:space="preserve">CYBERSECURITY ANALYST</w:t>
      </w:r>
    </w:p>
    <w:p>
      <w:pPr>
        <w:keepNext/>
        <w:spacing w:after="60"/>
      </w:pPr>
      <w:r>
        <w:rPr>
          <w:b/>
          <w:bCs/>
          <w:color w:val="0B4EA2"/>
        </w:rPr>
        <w:t xml:space="preserve">Telefónica SOC </w:t>
      </w:r>
      <w:r>
        <w:rPr>
          <w:b w:val="false"/>
          <w:bCs w:val="false"/>
          <w:color w:val="5B6673"/>
        </w:rPr>
        <w:t xml:space="preserve">— via Alten</w:t>
      </w:r>
    </w:p>
    <w:p>
      <w:pPr>
        <w:pStyle w:val="ListParagraph"/>
        <w:numPr>
          <w:ilvl w:val="0"/>
          <w:numId w:val="2"/>
        </w:numPr>
        <w:spacing w:after="20"/>
      </w:pPr>
      <w:r>
        <w:t xml:space="preserve">Multidisciplinary SOC working with: IBM QRadar, ArcSight (6.9–7.4), Azure Sentinel, Splunk, McAfee SIEM, AlienVault, RSA, CrowdStrike Falcon, Microsoft Defender for Endpoint, Palo Alto EDR, Cisco Secure Endpoint, Check Point Harmony, Akamai, perimeter WAF, Symantec Cloud and Sandas.</w:t>
      </w:r>
    </w:p>
    <w:p>
      <w:pPr>
        <w:keepNext/>
        <w:spacing w:before="140" w:after="0"/>
      </w:pPr>
      <w:r>
        <w:rPr>
          <w:color w:val="5B6673"/>
          <w:spacing w:val="10"/>
          <w:sz w:val="17"/>
          <w:szCs w:val="17"/>
        </w:rPr>
        <w:t xml:space="preserve">2021</w:t>
      </w:r>
    </w:p>
    <w:p>
      <w:pPr>
        <w:pStyle w:val="Heading2"/>
      </w:pPr>
      <w:r>
        <w:t xml:space="preserve">SOC OPERATOR</w:t>
      </w:r>
    </w:p>
    <w:p>
      <w:pPr>
        <w:keepNext/>
        <w:spacing w:after="60"/>
      </w:pPr>
      <w:r>
        <w:rPr>
          <w:b/>
          <w:bCs/>
          <w:color w:val="0B4EA2"/>
        </w:rPr>
        <w:t xml:space="preserve">Sermicro · Evolutio </w:t>
      </w:r>
      <w:r>
        <w:rPr>
          <w:b w:val="false"/>
          <w:bCs w:val="false"/>
          <w:color w:val="5B6673"/>
        </w:rPr>
        <w:t xml:space="preserve">— CISOC</w:t>
      </w:r>
    </w:p>
    <w:p>
      <w:pPr>
        <w:pStyle w:val="ListParagraph"/>
        <w:numPr>
          <w:ilvl w:val="0"/>
          <w:numId w:val="2"/>
        </w:numPr>
        <w:spacing w:after="20"/>
      </w:pPr>
      <w:r>
        <w:t xml:space="preserve">Operations in a SIEM environment.</w:t>
      </w:r>
    </w:p>
    <w:p>
      <w:pPr>
        <w:pStyle w:val="ListParagraph"/>
        <w:numPr>
          <w:ilvl w:val="0"/>
          <w:numId w:val="2"/>
        </w:numPr>
        <w:spacing w:after="20"/>
      </w:pPr>
      <w:r>
        <w:t xml:space="preserve">Monitoring with Arbor, Zabbix and Imperva; ticketing with TheHive, Remedy, Jira and ServiceNow.</w:t>
      </w:r>
    </w:p>
    <w:p>
      <w:pPr>
        <w:keepNext/>
        <w:spacing w:before="140" w:after="0"/>
      </w:pPr>
      <w:r>
        <w:rPr>
          <w:color w:val="5B6673"/>
          <w:spacing w:val="10"/>
          <w:sz w:val="17"/>
          <w:szCs w:val="17"/>
        </w:rPr>
        <w:t xml:space="preserve">12/2018 – 12/2019 · MADRID</w:t>
      </w:r>
    </w:p>
    <w:p>
      <w:pPr>
        <w:pStyle w:val="Heading2"/>
      </w:pPr>
      <w:r>
        <w:t xml:space="preserve">VIDEO EDITOR</w:t>
      </w:r>
    </w:p>
    <w:p>
      <w:pPr>
        <w:keepNext/>
        <w:spacing w:after="60"/>
      </w:pPr>
      <w:r>
        <w:rPr>
          <w:b/>
          <w:bCs/>
          <w:color w:val="0B4EA2"/>
        </w:rPr>
        <w:t xml:space="preserve">LA MÁQUINA Producciones</w:t>
      </w:r>
    </w:p>
    <w:p>
      <w:pPr>
        <w:keepNext/>
        <w:spacing w:before="140" w:after="0"/>
      </w:pPr>
      <w:r>
        <w:rPr>
          <w:color w:val="5B6673"/>
          <w:spacing w:val="10"/>
          <w:sz w:val="17"/>
          <w:szCs w:val="17"/>
        </w:rPr>
        <w:t xml:space="preserve">02/2017 – 09/2020</w:t>
      </w:r>
    </w:p>
    <w:p>
      <w:pPr>
        <w:pStyle w:val="Heading2"/>
      </w:pPr>
      <w:r>
        <w:t xml:space="preserve">ASSISTANT DIRECTOR</w:t>
      </w:r>
    </w:p>
    <w:p>
      <w:pPr>
        <w:keepNext/>
        <w:spacing w:after="60"/>
      </w:pPr>
      <w:r>
        <w:rPr>
          <w:b/>
          <w:bCs/>
          <w:color w:val="0B4EA2"/>
        </w:rPr>
        <w:t xml:space="preserve">Zeppelin TV</w:t>
      </w:r>
    </w:p>
    <w:p>
      <w:pPr>
        <w:keepNext/>
        <w:spacing w:before="140" w:after="0"/>
      </w:pPr>
      <w:r>
        <w:rPr>
          <w:color w:val="5B6673"/>
          <w:spacing w:val="10"/>
          <w:sz w:val="17"/>
          <w:szCs w:val="17"/>
        </w:rPr>
        <w:t xml:space="preserve">07/2015 – 06/2021 · MADRID</w:t>
      </w:r>
    </w:p>
    <w:p>
      <w:pPr>
        <w:pStyle w:val="Heading2"/>
      </w:pPr>
      <w:r>
        <w:t xml:space="preserve">ASSISTANT DIRECTOR</w:t>
      </w:r>
    </w:p>
    <w:p>
      <w:pPr>
        <w:keepNext/>
        <w:spacing w:after="60"/>
      </w:pPr>
      <w:r>
        <w:rPr>
          <w:b/>
          <w:bCs/>
          <w:color w:val="0B4EA2"/>
        </w:rPr>
        <w:t xml:space="preserve">Mediaset España</w:t>
      </w:r>
    </w:p>
    <w:p>
      <w:pPr>
        <w:keepNext/>
        <w:spacing w:before="140" w:after="0"/>
      </w:pPr>
      <w:r>
        <w:rPr>
          <w:color w:val="5B6673"/>
          <w:spacing w:val="10"/>
          <w:sz w:val="17"/>
          <w:szCs w:val="17"/>
        </w:rPr>
        <w:t xml:space="preserve">2012 – 2020</w:t>
      </w:r>
    </w:p>
    <w:p>
      <w:pPr>
        <w:pStyle w:val="Heading2"/>
      </w:pPr>
      <w:r>
        <w:t xml:space="preserve">TV PRODUCER</w:t>
      </w:r>
    </w:p>
    <w:p>
      <w:pPr>
        <w:keepNext/>
        <w:spacing w:after="60"/>
      </w:pPr>
      <w:r>
        <w:rPr>
          <w:b/>
          <w:bCs/>
          <w:color w:val="0B4EA2"/>
        </w:rPr>
        <w:t xml:space="preserve">Mediaset España</w:t>
      </w:r>
    </w:p>
    <w:p>
      <w:pPr>
        <w:spacing w:before="100" w:after="60"/>
      </w:pPr>
      <w:r>
        <w:rPr>
          <w:b/>
          <w:bCs/>
        </w:rPr>
        <w:t xml:space="preserve">Concurrent roles.</w:t>
      </w:r>
      <w:r>
        <w:t xml:space="preserve"> Live TV production and directing: team coordination, tight deadlines and real-time problem solving.</w:t>
      </w:r>
    </w:p>
    <w:p>
      <w:pPr>
        <w:pStyle w:val="Heading1"/>
      </w:pPr>
      <w:r>
        <w:t xml:space="preserve">EDUCATION AND TRAINING</w:t>
      </w:r>
    </w:p>
    <w:p>
      <w:pPr>
        <w:keepNext/>
        <w:spacing w:before="140" w:after="0"/>
      </w:pPr>
      <w:r>
        <w:rPr>
          <w:color w:val="5B6673"/>
          <w:spacing w:val="10"/>
          <w:sz w:val="17"/>
          <w:szCs w:val="17"/>
        </w:rPr>
        <w:t xml:space="preserve">CERTIFICATION</w:t>
      </w:r>
    </w:p>
    <w:p>
      <w:pPr>
        <w:pStyle w:val="Heading2"/>
      </w:pPr>
      <w:r>
        <w:t xml:space="preserve">IBM QRADAR SIEM · C1000</w:t>
      </w:r>
    </w:p>
    <w:p>
      <w:pPr>
        <w:keepNext/>
        <w:spacing w:after="60"/>
      </w:pPr>
      <w:r>
        <w:rPr>
          <w:b/>
          <w:bCs/>
          <w:color w:val="0B4EA2"/>
        </w:rPr>
        <w:t xml:space="preserve">IBM</w:t>
      </w:r>
    </w:p>
    <w:p>
      <w:pPr>
        <w:pStyle w:val="ListParagraph"/>
        <w:numPr>
          <w:ilvl w:val="0"/>
          <w:numId w:val="2"/>
        </w:numPr>
        <w:spacing w:after="20"/>
      </w:pPr>
      <w:r>
        <w:t xml:space="preserve">Rule and dashboard implementation.</w:t>
      </w:r>
    </w:p>
    <w:p>
      <w:pPr>
        <w:keepNext/>
        <w:spacing w:before="140" w:after="0"/>
      </w:pPr>
      <w:r>
        <w:rPr>
          <w:color w:val="5B6673"/>
          <w:spacing w:val="10"/>
          <w:sz w:val="17"/>
          <w:szCs w:val="17"/>
        </w:rPr>
        <w:t xml:space="preserve">2020 – 2021</w:t>
      </w:r>
    </w:p>
    <w:p>
      <w:pPr>
        <w:pStyle w:val="Heading2"/>
      </w:pPr>
      <w:r>
        <w:t xml:space="preserve">CYBERSECURITY BOOTCAMP</w:t>
      </w:r>
    </w:p>
    <w:p>
      <w:pPr>
        <w:keepNext/>
        <w:spacing w:after="60"/>
      </w:pPr>
      <w:r>
        <w:rPr>
          <w:b/>
          <w:bCs/>
          <w:color w:val="0B4EA2"/>
        </w:rPr>
        <w:t xml:space="preserve">The Bridge · Digital Talent Accelerator</w:t>
      </w:r>
    </w:p>
    <w:p>
      <w:pPr>
        <w:pStyle w:val="ListParagraph"/>
        <w:numPr>
          <w:ilvl w:val="0"/>
          <w:numId w:val="2"/>
        </w:numPr>
        <w:spacing w:after="20"/>
      </w:pPr>
      <w:r>
        <w:t xml:space="preserve">Networking, cryptography, SIEM operations, vulnerability analysis, web and mobile application attacks, exploitation, defence evasion and asset protection.</w:t>
      </w:r>
    </w:p>
    <w:p>
      <w:pPr>
        <w:keepNext/>
        <w:spacing w:before="140" w:after="0"/>
      </w:pPr>
      <w:r>
        <w:rPr>
          <w:color w:val="5B6673"/>
          <w:spacing w:val="10"/>
          <w:sz w:val="17"/>
          <w:szCs w:val="17"/>
        </w:rPr>
        <w:t xml:space="preserve">2020</w:t>
      </w:r>
    </w:p>
    <w:p>
      <w:pPr>
        <w:pStyle w:val="Heading2"/>
      </w:pPr>
      <w:r>
        <w:t xml:space="preserve">FULL-STACK WEB DEVELOPMENT BOOTCAMP</w:t>
      </w:r>
    </w:p>
    <w:p>
      <w:pPr>
        <w:keepNext/>
        <w:spacing w:after="60"/>
      </w:pPr>
      <w:r>
        <w:rPr>
          <w:b/>
          <w:bCs/>
          <w:color w:val="0B4EA2"/>
        </w:rPr>
        <w:t xml:space="preserve">The Bridge · Digital Talent Accelerator</w:t>
      </w:r>
    </w:p>
    <w:p>
      <w:pPr>
        <w:pStyle w:val="ListParagraph"/>
        <w:numPr>
          <w:ilvl w:val="0"/>
          <w:numId w:val="2"/>
        </w:numPr>
        <w:spacing w:after="20"/>
      </w:pPr>
      <w:r>
        <w:t xml:space="preserve">Node.js, Express, React, MongoDB and version control with Git.</w:t>
      </w:r>
    </w:p>
    <w:p>
      <w:pPr>
        <w:keepNext/>
        <w:spacing w:before="140" w:after="0"/>
      </w:pPr>
      <w:r>
        <w:rPr>
          <w:color w:val="5B6673"/>
          <w:spacing w:val="10"/>
          <w:sz w:val="17"/>
          <w:szCs w:val="17"/>
        </w:rPr>
        <w:t xml:space="preserve">2011 – 2015</w:t>
      </w:r>
    </w:p>
    <w:p>
      <w:pPr>
        <w:pStyle w:val="Heading2"/>
      </w:pPr>
      <w:r>
        <w:t xml:space="preserve">BACHELOR'S DEGREE IN AUDIOVISUAL COMMUNICATION</w:t>
      </w:r>
    </w:p>
    <w:p>
      <w:pPr>
        <w:keepNext/>
        <w:spacing w:after="60"/>
      </w:pPr>
      <w:r>
        <w:rPr>
          <w:b/>
          <w:bCs/>
          <w:color w:val="0B4EA2"/>
        </w:rPr>
        <w:t xml:space="preserve">European University of Madrid </w:t>
      </w:r>
      <w:r>
        <w:rPr>
          <w:b w:val="false"/>
          <w:bCs w:val="false"/>
          <w:color w:val="5B6673"/>
        </w:rPr>
        <w:t xml:space="preserve">— EQF level 6</w:t>
      </w:r>
    </w:p>
    <w:p>
      <w:pPr>
        <w:pStyle w:val="Heading1"/>
      </w:pPr>
      <w:r>
        <w:t xml:space="preserve">LANGUAGE SKILLS</w:t>
      </w:r>
    </w:p>
    <w:p>
      <w:pPr>
        <w:spacing w:after="80"/>
      </w:pPr>
      <w:r>
        <w:rPr>
          <w:b/>
          <w:bCs/>
        </w:rPr>
        <w:t xml:space="preserve">Mother tongue:</w:t>
      </w:r>
      <w:r>
        <w:t xml:space="preserve"> Spanish</w:t>
      </w:r>
    </w:p>
    <w:p>
      <w:pPr>
        <w:spacing w:after="80"/>
      </w:pPr>
      <w:r>
        <w:rPr>
          <w:b/>
          <w:bCs/>
        </w:rPr>
        <w:t xml:space="preserve">Other languages:</w:t>
      </w:r>
    </w:p>
    <w:tbl>
      <w:tblPr>
        <w:tblW w:type="dxa" w:w="9906"/>
        <w:tblBorders>
          <w:top w:val="single" w:color="auto" w:sz="4"/>
          <w:left w:val="single" w:color="auto" w:sz="4"/>
          <w:bottom w:val="single" w:color="auto" w:sz="4"/>
          <w:right w:val="single" w:color="auto" w:sz="4"/>
          <w:insideH w:val="single" w:color="auto" w:sz="4"/>
          <w:insideV w:val="single" w:color="auto" w:sz="4"/>
        </w:tblBorders>
      </w:tblPr>
      <w:tblGrid>
        <w:gridCol w:w="1500"/>
        <w:gridCol w:w="1800"/>
        <w:gridCol w:w="1800"/>
        <w:gridCol w:w="1650"/>
        <w:gridCol w:w="1650"/>
        <w:gridCol w:w="1506"/>
      </w:tblGrid>
      <w:tr>
        <w:trPr>
          <w:tblHeader/>
        </w:trPr>
        <w:tc>
          <w:tcPr>
            <w:tcW w:type="dxa" w:w="1500"/>
            <w:vMerge w:val="restart"/>
            <w:tcBorders>
              <w:top w:val="single" w:color="C9D3E0" w:sz="4"/>
              <w:left w:val="single" w:color="C9D3E0" w:sz="4"/>
              <w:bottom w:val="single" w:color="C9D3E0" w:sz="4"/>
              <w:right w:val="single" w:color="C9D3E0" w:sz="4"/>
            </w:tcBorders>
            <w:shd w:fill="E8EEF7" w:color="auto" w:val="clear"/>
            <w:tcMar>
              <w:top w:type="dxa" w:w="60"/>
              <w:left w:type="dxa" w:w="80"/>
              <w:bottom w:type="dxa" w:w="60"/>
              <w:right w:type="dxa" w:w="80"/>
            </w:tcMar>
            <w:vAlign w:val="center"/>
          </w:tcPr>
          <w:p>
            <w:pPr>
              <w:jc w:val="center"/>
            </w:pPr>
            <w:r>
              <w:rPr>
                <w:b/>
                <w:bCs/>
                <w:color w:val="0B4EA2"/>
                <w:sz w:val="18"/>
                <w:szCs w:val="18"/>
              </w:rPr>
              <w:t xml:space="preserve"/>
            </w:r>
          </w:p>
        </w:tc>
        <w:tc>
          <w:tcPr>
            <w:tcW w:type="dxa" w:w="3600"/>
            <w:gridSpan w:val="2"/>
            <w:tcBorders>
              <w:top w:val="single" w:color="C9D3E0" w:sz="4"/>
              <w:left w:val="single" w:color="C9D3E0" w:sz="4"/>
              <w:bottom w:val="single" w:color="C9D3E0" w:sz="4"/>
              <w:right w:val="single" w:color="C9D3E0" w:sz="4"/>
            </w:tcBorders>
            <w:shd w:fill="E8EEF7" w:color="auto" w:val="clear"/>
            <w:tcMar>
              <w:top w:type="dxa" w:w="60"/>
              <w:left w:type="dxa" w:w="80"/>
              <w:bottom w:type="dxa" w:w="60"/>
              <w:right w:type="dxa" w:w="80"/>
            </w:tcMar>
            <w:vAlign w:val="center"/>
          </w:tcPr>
          <w:p>
            <w:pPr>
              <w:jc w:val="center"/>
            </w:pPr>
            <w:r>
              <w:rPr>
                <w:b/>
                <w:bCs/>
                <w:color w:val="0B4EA2"/>
                <w:sz w:val="18"/>
                <w:szCs w:val="18"/>
              </w:rPr>
              <w:t xml:space="preserve">Understanding</w:t>
            </w:r>
          </w:p>
        </w:tc>
        <w:tc>
          <w:tcPr>
            <w:tcW w:type="dxa" w:w="3300"/>
            <w:gridSpan w:val="2"/>
            <w:tcBorders>
              <w:top w:val="single" w:color="C9D3E0" w:sz="4"/>
              <w:left w:val="single" w:color="C9D3E0" w:sz="4"/>
              <w:bottom w:val="single" w:color="C9D3E0" w:sz="4"/>
              <w:right w:val="single" w:color="C9D3E0" w:sz="4"/>
            </w:tcBorders>
            <w:shd w:fill="E8EEF7" w:color="auto" w:val="clear"/>
            <w:tcMar>
              <w:top w:type="dxa" w:w="60"/>
              <w:left w:type="dxa" w:w="80"/>
              <w:bottom w:type="dxa" w:w="60"/>
              <w:right w:type="dxa" w:w="80"/>
            </w:tcMar>
            <w:vAlign w:val="center"/>
          </w:tcPr>
          <w:p>
            <w:pPr>
              <w:jc w:val="center"/>
            </w:pPr>
            <w:r>
              <w:rPr>
                <w:b/>
                <w:bCs/>
                <w:color w:val="0B4EA2"/>
                <w:sz w:val="18"/>
                <w:szCs w:val="18"/>
              </w:rPr>
              <w:t xml:space="preserve">Speaking</w:t>
            </w:r>
          </w:p>
        </w:tc>
        <w:tc>
          <w:tcPr>
            <w:tcW w:type="dxa" w:w="1506"/>
            <w:vMerge w:val="restart"/>
            <w:tcBorders>
              <w:top w:val="single" w:color="C9D3E0" w:sz="4"/>
              <w:left w:val="single" w:color="C9D3E0" w:sz="4"/>
              <w:bottom w:val="single" w:color="C9D3E0" w:sz="4"/>
              <w:right w:val="single" w:color="C9D3E0" w:sz="4"/>
            </w:tcBorders>
            <w:shd w:fill="E8EEF7" w:color="auto" w:val="clear"/>
            <w:tcMar>
              <w:top w:type="dxa" w:w="60"/>
              <w:left w:type="dxa" w:w="80"/>
              <w:bottom w:type="dxa" w:w="60"/>
              <w:right w:type="dxa" w:w="80"/>
            </w:tcMar>
            <w:vAlign w:val="center"/>
          </w:tcPr>
          <w:p>
            <w:pPr>
              <w:jc w:val="center"/>
            </w:pPr>
            <w:r>
              <w:rPr>
                <w:b/>
                <w:bCs/>
                <w:color w:val="0B4EA2"/>
                <w:sz w:val="18"/>
                <w:szCs w:val="18"/>
              </w:rPr>
              <w:t xml:space="preserve">Writing</w:t>
            </w:r>
          </w:p>
        </w:tc>
      </w:tr>
      <w:tr>
        <w:trPr>
          <w:tblHeader/>
        </w:trPr>
        <w:tc>
          <w:tcPr>
            <w:vMerge w:val="continue"/>
            <w:tcBorders>
              <w:top w:val="single" w:color="C9D3E0" w:sz="4"/>
              <w:left w:val="single" w:color="C9D3E0" w:sz="4"/>
              <w:bottom w:val="single" w:color="C9D3E0" w:sz="4"/>
              <w:right w:val="single" w:color="C9D3E0" w:sz="4"/>
            </w:tcBorders>
          </w:tcPr>
          <w:p/>
        </w:tc>
        <w:tc>
          <w:tcPr>
            <w:tcW w:type="dxa" w:w="1800"/>
            <w:tcBorders>
              <w:top w:val="single" w:color="C9D3E0" w:sz="4"/>
              <w:left w:val="single" w:color="C9D3E0" w:sz="4"/>
              <w:bottom w:val="single" w:color="C9D3E0" w:sz="4"/>
              <w:right w:val="single" w:color="C9D3E0" w:sz="4"/>
            </w:tcBorders>
            <w:shd w:fill="E8EEF7" w:color="auto" w:val="clear"/>
            <w:tcMar>
              <w:top w:type="dxa" w:w="60"/>
              <w:left w:type="dxa" w:w="80"/>
              <w:bottom w:type="dxa" w:w="60"/>
              <w:right w:type="dxa" w:w="80"/>
            </w:tcMar>
            <w:vAlign w:val="center"/>
          </w:tcPr>
          <w:p>
            <w:pPr>
              <w:jc w:val="center"/>
            </w:pPr>
            <w:r>
              <w:rPr>
                <w:b/>
                <w:bCs/>
                <w:color w:val="0B4EA2"/>
                <w:sz w:val="18"/>
                <w:szCs w:val="18"/>
              </w:rPr>
              <w:t xml:space="preserve">Listening</w:t>
            </w:r>
          </w:p>
        </w:tc>
        <w:tc>
          <w:tcPr>
            <w:tcW w:type="dxa" w:w="1800"/>
            <w:tcBorders>
              <w:top w:val="single" w:color="C9D3E0" w:sz="4"/>
              <w:left w:val="single" w:color="C9D3E0" w:sz="4"/>
              <w:bottom w:val="single" w:color="C9D3E0" w:sz="4"/>
              <w:right w:val="single" w:color="C9D3E0" w:sz="4"/>
            </w:tcBorders>
            <w:shd w:fill="E8EEF7" w:color="auto" w:val="clear"/>
            <w:tcMar>
              <w:top w:type="dxa" w:w="60"/>
              <w:left w:type="dxa" w:w="80"/>
              <w:bottom w:type="dxa" w:w="60"/>
              <w:right w:type="dxa" w:w="80"/>
            </w:tcMar>
            <w:vAlign w:val="center"/>
          </w:tcPr>
          <w:p>
            <w:pPr>
              <w:jc w:val="center"/>
            </w:pPr>
            <w:r>
              <w:rPr>
                <w:b/>
                <w:bCs/>
                <w:color w:val="0B4EA2"/>
                <w:sz w:val="18"/>
                <w:szCs w:val="18"/>
              </w:rPr>
              <w:t xml:space="preserve">Reading</w:t>
            </w:r>
          </w:p>
        </w:tc>
        <w:tc>
          <w:tcPr>
            <w:tcW w:type="dxa" w:w="1650"/>
            <w:tcBorders>
              <w:top w:val="single" w:color="C9D3E0" w:sz="4"/>
              <w:left w:val="single" w:color="C9D3E0" w:sz="4"/>
              <w:bottom w:val="single" w:color="C9D3E0" w:sz="4"/>
              <w:right w:val="single" w:color="C9D3E0" w:sz="4"/>
            </w:tcBorders>
            <w:shd w:fill="E8EEF7" w:color="auto" w:val="clear"/>
            <w:tcMar>
              <w:top w:type="dxa" w:w="60"/>
              <w:left w:type="dxa" w:w="80"/>
              <w:bottom w:type="dxa" w:w="60"/>
              <w:right w:type="dxa" w:w="80"/>
            </w:tcMar>
            <w:vAlign w:val="center"/>
          </w:tcPr>
          <w:p>
            <w:pPr>
              <w:jc w:val="center"/>
            </w:pPr>
            <w:r>
              <w:rPr>
                <w:b/>
                <w:bCs/>
                <w:color w:val="0B4EA2"/>
                <w:sz w:val="18"/>
                <w:szCs w:val="18"/>
              </w:rPr>
              <w:t xml:space="preserve">Spoken production</w:t>
            </w:r>
          </w:p>
        </w:tc>
        <w:tc>
          <w:tcPr>
            <w:tcW w:type="dxa" w:w="1650"/>
            <w:tcBorders>
              <w:top w:val="single" w:color="C9D3E0" w:sz="4"/>
              <w:left w:val="single" w:color="C9D3E0" w:sz="4"/>
              <w:bottom w:val="single" w:color="C9D3E0" w:sz="4"/>
              <w:right w:val="single" w:color="C9D3E0" w:sz="4"/>
            </w:tcBorders>
            <w:shd w:fill="E8EEF7" w:color="auto" w:val="clear"/>
            <w:tcMar>
              <w:top w:type="dxa" w:w="60"/>
              <w:left w:type="dxa" w:w="80"/>
              <w:bottom w:type="dxa" w:w="60"/>
              <w:right w:type="dxa" w:w="80"/>
            </w:tcMar>
            <w:vAlign w:val="center"/>
          </w:tcPr>
          <w:p>
            <w:pPr>
              <w:jc w:val="center"/>
            </w:pPr>
            <w:r>
              <w:rPr>
                <w:b/>
                <w:bCs/>
                <w:color w:val="0B4EA2"/>
                <w:sz w:val="18"/>
                <w:szCs w:val="18"/>
              </w:rPr>
              <w:t xml:space="preserve">Spoken interaction</w:t>
            </w:r>
          </w:p>
        </w:tc>
        <w:tc>
          <w:tcPr>
            <w:vMerge w:val="continue"/>
            <w:tcBorders>
              <w:top w:val="single" w:color="C9D3E0" w:sz="4"/>
              <w:left w:val="single" w:color="C9D3E0" w:sz="4"/>
              <w:bottom w:val="single" w:color="C9D3E0" w:sz="4"/>
              <w:right w:val="single" w:color="C9D3E0" w:sz="4"/>
            </w:tcBorders>
          </w:tcPr>
          <w:p/>
        </w:tc>
      </w:tr>
      <w:tr>
        <w:tc>
          <w:tcPr>
            <w:tcW w:type="dxa" w:w="1500"/>
            <w:tcBorders>
              <w:top w:val="single" w:color="C9D3E0" w:sz="4"/>
              <w:left w:val="single" w:color="C9D3E0" w:sz="4"/>
              <w:bottom w:val="single" w:color="C9D3E0" w:sz="4"/>
              <w:right w:val="single" w:color="C9D3E0" w:sz="4"/>
            </w:tcBorders>
            <w:tcMar>
              <w:top w:type="dxa" w:w="60"/>
              <w:left w:type="dxa" w:w="80"/>
              <w:bottom w:type="dxa" w:w="60"/>
              <w:right w:type="dxa" w:w="80"/>
            </w:tcMar>
            <w:vAlign w:val="center"/>
          </w:tcPr>
          <w:p>
            <w:pPr>
              <w:jc w:val="left"/>
            </w:pPr>
            <w:r>
              <w:rPr>
                <w:b/>
                <w:bCs/>
                <w:color w:val="1F2933"/>
                <w:sz w:val="18"/>
                <w:szCs w:val="18"/>
              </w:rPr>
              <w:t xml:space="preserve">English</w:t>
            </w:r>
          </w:p>
        </w:tc>
        <w:tc>
          <w:tcPr>
            <w:tcW w:type="dxa" w:w="1800"/>
            <w:tcBorders>
              <w:top w:val="single" w:color="C9D3E0" w:sz="4"/>
              <w:left w:val="single" w:color="C9D3E0" w:sz="4"/>
              <w:bottom w:val="single" w:color="C9D3E0" w:sz="4"/>
              <w:right w:val="single" w:color="C9D3E0" w:sz="4"/>
            </w:tcBorders>
            <w:tcMar>
              <w:top w:type="dxa" w:w="60"/>
              <w:left w:type="dxa" w:w="80"/>
              <w:bottom w:type="dxa" w:w="60"/>
              <w:right w:type="dxa" w:w="80"/>
            </w:tcMar>
            <w:vAlign w:val="center"/>
          </w:tcPr>
          <w:p>
            <w:pPr>
              <w:jc w:val="center"/>
            </w:pPr>
            <w:r>
              <w:rPr>
                <w:b w:val="false"/>
                <w:bCs w:val="false"/>
                <w:color w:val="1F2933"/>
                <w:sz w:val="18"/>
                <w:szCs w:val="18"/>
              </w:rPr>
              <w:t xml:space="preserve">C1</w:t>
            </w:r>
          </w:p>
        </w:tc>
        <w:tc>
          <w:tcPr>
            <w:tcW w:type="dxa" w:w="1800"/>
            <w:tcBorders>
              <w:top w:val="single" w:color="C9D3E0" w:sz="4"/>
              <w:left w:val="single" w:color="C9D3E0" w:sz="4"/>
              <w:bottom w:val="single" w:color="C9D3E0" w:sz="4"/>
              <w:right w:val="single" w:color="C9D3E0" w:sz="4"/>
            </w:tcBorders>
            <w:tcMar>
              <w:top w:type="dxa" w:w="60"/>
              <w:left w:type="dxa" w:w="80"/>
              <w:bottom w:type="dxa" w:w="60"/>
              <w:right w:type="dxa" w:w="80"/>
            </w:tcMar>
            <w:vAlign w:val="center"/>
          </w:tcPr>
          <w:p>
            <w:pPr>
              <w:jc w:val="center"/>
            </w:pPr>
            <w:r>
              <w:rPr>
                <w:b w:val="false"/>
                <w:bCs w:val="false"/>
                <w:color w:val="1F2933"/>
                <w:sz w:val="18"/>
                <w:szCs w:val="18"/>
              </w:rPr>
              <w:t xml:space="preserve">C1</w:t>
            </w:r>
          </w:p>
        </w:tc>
        <w:tc>
          <w:tcPr>
            <w:tcW w:type="dxa" w:w="1650"/>
            <w:tcBorders>
              <w:top w:val="single" w:color="C9D3E0" w:sz="4"/>
              <w:left w:val="single" w:color="C9D3E0" w:sz="4"/>
              <w:bottom w:val="single" w:color="C9D3E0" w:sz="4"/>
              <w:right w:val="single" w:color="C9D3E0" w:sz="4"/>
            </w:tcBorders>
            <w:tcMar>
              <w:top w:type="dxa" w:w="60"/>
              <w:left w:type="dxa" w:w="80"/>
              <w:bottom w:type="dxa" w:w="60"/>
              <w:right w:type="dxa" w:w="80"/>
            </w:tcMar>
            <w:vAlign w:val="center"/>
          </w:tcPr>
          <w:p>
            <w:pPr>
              <w:jc w:val="center"/>
            </w:pPr>
            <w:r>
              <w:rPr>
                <w:b w:val="false"/>
                <w:bCs w:val="false"/>
                <w:color w:val="1F2933"/>
                <w:sz w:val="18"/>
                <w:szCs w:val="18"/>
              </w:rPr>
              <w:t xml:space="preserve">C1</w:t>
            </w:r>
          </w:p>
        </w:tc>
        <w:tc>
          <w:tcPr>
            <w:tcW w:type="dxa" w:w="1650"/>
            <w:tcBorders>
              <w:top w:val="single" w:color="C9D3E0" w:sz="4"/>
              <w:left w:val="single" w:color="C9D3E0" w:sz="4"/>
              <w:bottom w:val="single" w:color="C9D3E0" w:sz="4"/>
              <w:right w:val="single" w:color="C9D3E0" w:sz="4"/>
            </w:tcBorders>
            <w:tcMar>
              <w:top w:type="dxa" w:w="60"/>
              <w:left w:type="dxa" w:w="80"/>
              <w:bottom w:type="dxa" w:w="60"/>
              <w:right w:type="dxa" w:w="80"/>
            </w:tcMar>
            <w:vAlign w:val="center"/>
          </w:tcPr>
          <w:p>
            <w:pPr>
              <w:jc w:val="center"/>
            </w:pPr>
            <w:r>
              <w:rPr>
                <w:b w:val="false"/>
                <w:bCs w:val="false"/>
                <w:color w:val="1F2933"/>
                <w:sz w:val="18"/>
                <w:szCs w:val="18"/>
              </w:rPr>
              <w:t xml:space="preserve">C1</w:t>
            </w:r>
          </w:p>
        </w:tc>
        <w:tc>
          <w:tcPr>
            <w:tcW w:type="dxa" w:w="1506"/>
            <w:tcBorders>
              <w:top w:val="single" w:color="C9D3E0" w:sz="4"/>
              <w:left w:val="single" w:color="C9D3E0" w:sz="4"/>
              <w:bottom w:val="single" w:color="C9D3E0" w:sz="4"/>
              <w:right w:val="single" w:color="C9D3E0" w:sz="4"/>
            </w:tcBorders>
            <w:tcMar>
              <w:top w:type="dxa" w:w="60"/>
              <w:left w:type="dxa" w:w="80"/>
              <w:bottom w:type="dxa" w:w="60"/>
              <w:right w:type="dxa" w:w="80"/>
            </w:tcMar>
            <w:vAlign w:val="center"/>
          </w:tcPr>
          <w:p>
            <w:pPr>
              <w:jc w:val="center"/>
            </w:pPr>
            <w:r>
              <w:rPr>
                <w:b w:val="false"/>
                <w:bCs w:val="false"/>
                <w:color w:val="1F2933"/>
                <w:sz w:val="18"/>
                <w:szCs w:val="18"/>
              </w:rPr>
              <w:t xml:space="preserve">C1</w:t>
            </w:r>
          </w:p>
        </w:tc>
      </w:tr>
    </w:tbl>
    <w:p>
      <w:pPr>
        <w:spacing w:before="60"/>
      </w:pPr>
      <w:r>
        <w:rPr>
          <w:color w:val="5B6673"/>
          <w:sz w:val="16"/>
          <w:szCs w:val="16"/>
        </w:rPr>
        <w:t xml:space="preserve">Levels: A1 and A2: Basic user · B1 and B2: Independent user · C1 and C2: Proficient user.</w:t>
      </w:r>
    </w:p>
    <w:p>
      <w:pPr>
        <w:pStyle w:val="Heading1"/>
      </w:pPr>
      <w:r>
        <w:t xml:space="preserve">DIGITAL SKILLS</w:t>
      </w:r>
    </w:p>
    <w:p>
      <w:pPr>
        <w:spacing w:after="40"/>
      </w:pPr>
      <w:r>
        <w:rPr>
          <w:b/>
          <w:bCs/>
          <w:color w:val="0B4EA2"/>
        </w:rPr>
        <w:t xml:space="preserve">Specialisation: </w:t>
      </w:r>
      <w:r>
        <w:rPr>
          <w:b/>
          <w:bCs/>
        </w:rPr>
        <w:t xml:space="preserve">IBM QRadar</w:t>
      </w:r>
      <w:r>
        <w:t xml:space="preserve">: administration, migration, integrations, rules &amp; use cases, API and version upgrades</w:t>
      </w:r>
    </w:p>
    <w:p>
      <w:pPr>
        <w:spacing w:after="40"/>
      </w:pPr>
      <w:r>
        <w:rPr>
          <w:b/>
          <w:bCs/>
          <w:color w:val="1F2933"/>
        </w:rPr>
        <w:t xml:space="preserve">Other SIEMs: </w:t>
      </w:r>
      <w:r>
        <w:t xml:space="preserve">RSA NetWitness, ArcSight, Splunk, Azure Sentinel, McAfee ESM, AlienVault</w:t>
      </w:r>
    </w:p>
    <w:p>
      <w:pPr>
        <w:spacing w:after="40"/>
      </w:pPr>
      <w:r>
        <w:rPr>
          <w:b/>
          <w:bCs/>
          <w:color w:val="1F2933"/>
        </w:rPr>
        <w:t xml:space="preserve">Integration &amp; automation: </w:t>
      </w:r>
      <w:r>
        <w:t xml:space="preserve">QRadar API, Python, Bash, REST APIs, Syslog, JDBC, Logfile, WinCollect</w:t>
      </w:r>
    </w:p>
    <w:p>
      <w:pPr>
        <w:spacing w:after="40"/>
      </w:pPr>
      <w:r>
        <w:rPr>
          <w:b/>
          <w:bCs/>
          <w:color w:val="1F2933"/>
        </w:rPr>
        <w:t xml:space="preserve">EDR / XDR: </w:t>
      </w:r>
      <w:r>
        <w:t xml:space="preserve">CrowdStrike Falcon, Microsoft Defender for Endpoint, Palo Alto Cortex, Cisco Secure Endpoint (AMP), Check Point Harmony</w:t>
      </w:r>
    </w:p>
    <w:p>
      <w:pPr>
        <w:spacing w:after="40"/>
      </w:pPr>
      <w:r>
        <w:rPr>
          <w:b/>
          <w:bCs/>
          <w:color w:val="1F2933"/>
        </w:rPr>
        <w:t xml:space="preserve">Network &amp; perimeter: </w:t>
      </w:r>
      <w:r>
        <w:t xml:space="preserve">Akamai, Imperva, WAF, Arbor, Darktrace, Zabbix</w:t>
      </w:r>
    </w:p>
    <w:p>
      <w:pPr>
        <w:spacing w:after="40"/>
      </w:pPr>
      <w:r>
        <w:rPr>
          <w:b/>
          <w:bCs/>
          <w:color w:val="1F2933"/>
        </w:rPr>
        <w:t xml:space="preserve">Ticketing: </w:t>
      </w:r>
      <w:r>
        <w:t xml:space="preserve">TheHive, ServiceNow, Jira, Remedy, Sandas</w:t>
      </w:r>
    </w:p>
    <w:p>
      <w:pPr>
        <w:spacing w:after="40"/>
      </w:pPr>
      <w:r>
        <w:rPr>
          <w:b/>
          <w:bCs/>
          <w:color w:val="1F2933"/>
        </w:rPr>
        <w:t xml:space="preserve">Development: </w:t>
      </w:r>
      <w:r>
        <w:t xml:space="preserve">JavaScript, Node.js, Express, React, MongoDB, Git</w:t>
      </w:r>
    </w:p>
    <w:p>
      <w:pPr>
        <w:pStyle w:val="Heading1"/>
      </w:pPr>
      <w:r>
        <w:t xml:space="preserve">COMMUNICATION AND ORGANISATIONAL SKILLS</w:t>
      </w:r>
    </w:p>
    <w:p>
      <w:pPr>
        <w:pStyle w:val="ListParagraph"/>
        <w:numPr>
          <w:ilvl w:val="0"/>
          <w:numId w:val="2"/>
        </w:numPr>
        <w:spacing w:after="20"/>
      </w:pPr>
      <w:r>
        <w:t xml:space="preserve">Working under pressure and real-time problem solving, developed in live TV production and SOC environments.</w:t>
      </w:r>
    </w:p>
    <w:p>
      <w:pPr>
        <w:pStyle w:val="ListParagraph"/>
        <w:numPr>
          <w:ilvl w:val="0"/>
          <w:numId w:val="2"/>
        </w:numPr>
        <w:spacing w:after="20"/>
      </w:pPr>
      <w:r>
        <w:t xml:space="preserve">Coordination of multidisciplinary teams and direct client communication.</w:t>
      </w:r>
    </w:p>
    <w:sectPr>
      <w:footerReference w:type="default" r:id="rId6"/>
      <w:pgSz w:w="11906" w:h="16838" w:orient="portrait"/>
      <w:pgMar w:top="850" w:right="1000" w:bottom="8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5B6673"/>
        <w:sz w:val="16"/>
        <w:szCs w:val="16"/>
      </w:rPr>
      <w:t xml:space="preserve">Javier Foriscot Llorca · </w:t>
    </w:r>
    <w:r>
      <w:rPr>
        <w:color w:val="5B6673"/>
        <w:sz w:val="16"/>
        <w:szCs w:val="16"/>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rPr>
        <w:color w:val="0B4EA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0"/>
        <w:szCs w:val="20"/>
        <w:lang w:val="en-GB"/>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keepNext/>
      <w:pBdr>
        <w:bottom w:val="single" w:color="C9D3E0" w:sz="4" w:space="3"/>
      </w:pBdr>
      <w:spacing w:before="280" w:after="100"/>
      <w:outlineLvl w:val="0"/>
    </w:pPr>
    <w:rPr>
      <w:rFonts w:ascii="Calibri" w:cs="Calibri" w:eastAsia="Calibri" w:hAnsi="Calibri"/>
      <w:b/>
      <w:bCs/>
      <w:color w:val="0B4EA2"/>
      <w:spacing w:val="15"/>
      <w:sz w:val="22"/>
      <w:szCs w:val="22"/>
    </w:rPr>
  </w:style>
  <w:style w:type="paragraph" w:styleId="Heading2">
    <w:name w:val="Heading 2"/>
    <w:basedOn w:val="Normal"/>
    <w:next w:val="Normal"/>
    <w:qFormat/>
    <w:pPr>
      <w:keepNext/>
      <w:spacing w:before="0" w:after="0"/>
      <w:outlineLvl w:val="1"/>
    </w:pPr>
    <w:rPr>
      <w:rFonts w:ascii="Calibri" w:cs="Calibri" w:eastAsia="Calibri" w:hAnsi="Calibri"/>
      <w:b/>
      <w:bCs/>
      <w:color w:val="1F2933"/>
      <w:sz w:val="21"/>
      <w:szCs w:val="21"/>
    </w:rPr>
  </w:style>
  <w:style w:type="paragraph" w:styleId="Heading3">
    <w:name w:val="Heading 3"/>
    <w:basedOn w:val="Normal"/>
    <w:next w:val="Normal"/>
    <w:qFormat/>
    <w:pPr>
      <w:keepNext/>
      <w:spacing w:before="100" w:after="40"/>
      <w:outlineLvl w:val="2"/>
    </w:pPr>
    <w:rPr>
      <w:rFonts w:ascii="Calibri" w:cs="Calibri" w:eastAsia="Calibri" w:hAnsi="Calibri"/>
      <w:b/>
      <w:bCs/>
      <w:color w:val="1F2933"/>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imptu-ppuuyrk063ysq4z" Type="http://schemas.openxmlformats.org/officeDocument/2006/relationships/hyperlink" Target="mailto:javi.foris@hotmail.com" TargetMode="External"/><Relationship Id="rId-ixgrvphqpewx7exkjws0" Type="http://schemas.openxmlformats.org/officeDocument/2006/relationships/hyperlink" Target="https://javierforiscot.dev" TargetMode="External"/><Relationship Id="rIdgnnv1kkraqcjqbxmvznql" Type="http://schemas.openxmlformats.org/officeDocument/2006/relationships/hyperlink" Target="https://www.linkedin.com/in/javier-foriscot-llorca-539876140/" TargetMode="External"/><Relationship Id="rId10"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Javier Foriscot Llorca — Europass CV</dc:title>
  <dc:creator>Javier Foriscot Llorca</dc:creator>
  <dc:description>Curriculum Vitae · Europass</dc:description>
  <cp:lastModifiedBy>Un-named</cp:lastModifiedBy>
  <cp:revision>1</cp:revision>
  <dcterms:created xsi:type="dcterms:W3CDTF">2026-10-13T08:18:54.819Z</dcterms:created>
  <dcterms:modified xsi:type="dcterms:W3CDTF">2026-10-13T08:18:54.819Z</dcterms:modified>
</cp:coreProperties>
</file>

<file path=docProps/custom.xml><?xml version="1.0" encoding="utf-8"?>
<Properties xmlns="http://schemas.openxmlformats.org/officeDocument/2006/custom-properties" xmlns:vt="http://schemas.openxmlformats.org/officeDocument/2006/docPropsVTypes"/>
</file>